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44E" w:rsidRDefault="00A2144E" w:rsidP="00A2144E">
      <w:pPr>
        <w:pStyle w:val="Default"/>
      </w:pPr>
      <w:bookmarkStart w:id="0" w:name="_GoBack"/>
      <w:bookmarkEnd w:id="0"/>
    </w:p>
    <w:p w:rsidR="00A2144E" w:rsidRPr="009F6C6A" w:rsidRDefault="00A2144E" w:rsidP="00A2144E">
      <w:pPr>
        <w:pStyle w:val="Default"/>
        <w:rPr>
          <w:rFonts w:ascii="Cambria" w:hAnsi="Cambria"/>
        </w:rPr>
      </w:pPr>
      <w:r w:rsidRPr="009F6C6A">
        <w:rPr>
          <w:rFonts w:ascii="Cambria" w:hAnsi="Cambria"/>
          <w:b/>
          <w:bCs/>
        </w:rPr>
        <w:t xml:space="preserve">Bachelorseminar: Vergleichende Analyse von Wohlfahrtsstaaten </w:t>
      </w:r>
    </w:p>
    <w:p w:rsidR="00A2144E" w:rsidRPr="009F6C6A" w:rsidRDefault="00A2144E" w:rsidP="00A2144E">
      <w:pPr>
        <w:pStyle w:val="Default"/>
        <w:rPr>
          <w:rFonts w:ascii="Cambria" w:hAnsi="Cambria"/>
        </w:rPr>
      </w:pPr>
      <w:r w:rsidRPr="009F6C6A">
        <w:rPr>
          <w:rFonts w:ascii="Cambria" w:hAnsi="Cambria"/>
          <w:b/>
          <w:bCs/>
        </w:rPr>
        <w:t xml:space="preserve">Vertiefungsseminar </w:t>
      </w:r>
    </w:p>
    <w:p w:rsidR="00A2144E" w:rsidRPr="009F6C6A" w:rsidRDefault="00A2144E" w:rsidP="00A2144E">
      <w:pPr>
        <w:pStyle w:val="Default"/>
        <w:rPr>
          <w:rFonts w:ascii="Cambria" w:hAnsi="Cambria"/>
        </w:rPr>
      </w:pPr>
      <w:r w:rsidRPr="009F6C6A">
        <w:rPr>
          <w:rFonts w:ascii="Cambria" w:hAnsi="Cambria"/>
          <w:b/>
          <w:bCs/>
        </w:rPr>
        <w:t xml:space="preserve">Dozent: Dr. Ulrich Glassmann </w:t>
      </w:r>
    </w:p>
    <w:p w:rsidR="00A2144E" w:rsidRPr="009F6C6A" w:rsidRDefault="00A2144E" w:rsidP="00A2144E">
      <w:pPr>
        <w:pStyle w:val="Default"/>
        <w:rPr>
          <w:rFonts w:ascii="Cambria" w:hAnsi="Cambria"/>
        </w:rPr>
      </w:pPr>
      <w:r w:rsidRPr="009F6C6A">
        <w:rPr>
          <w:rFonts w:ascii="Cambria" w:hAnsi="Cambria"/>
          <w:b/>
          <w:bCs/>
        </w:rPr>
        <w:t xml:space="preserve">Zeit: Donnerstags,  13.30-15.00 Uhr </w:t>
      </w:r>
    </w:p>
    <w:p w:rsidR="00A2144E" w:rsidRPr="009F6C6A" w:rsidRDefault="00A2144E" w:rsidP="00A2144E">
      <w:pPr>
        <w:pStyle w:val="Default"/>
        <w:rPr>
          <w:rFonts w:ascii="Cambria" w:hAnsi="Cambria"/>
        </w:rPr>
      </w:pPr>
      <w:r w:rsidRPr="009F6C6A">
        <w:rPr>
          <w:rFonts w:ascii="Cambria" w:hAnsi="Cambria"/>
          <w:b/>
          <w:bCs/>
        </w:rPr>
        <w:t xml:space="preserve">Raum: C 426 </w:t>
      </w:r>
    </w:p>
    <w:p w:rsidR="00A2144E" w:rsidRPr="009F6C6A" w:rsidRDefault="00A2144E" w:rsidP="00A2144E">
      <w:pPr>
        <w:pStyle w:val="Default"/>
        <w:rPr>
          <w:rFonts w:ascii="Cambria" w:hAnsi="Cambria"/>
        </w:rPr>
      </w:pPr>
      <w:r w:rsidRPr="009F6C6A">
        <w:rPr>
          <w:rFonts w:ascii="Cambria" w:hAnsi="Cambria"/>
          <w:b/>
          <w:bCs/>
        </w:rPr>
        <w:t>Beginn: 2</w:t>
      </w:r>
      <w:r w:rsidR="00AF7C8B" w:rsidRPr="009F6C6A">
        <w:rPr>
          <w:rFonts w:ascii="Cambria" w:hAnsi="Cambria"/>
          <w:b/>
          <w:bCs/>
        </w:rPr>
        <w:t>3</w:t>
      </w:r>
      <w:r w:rsidRPr="009F6C6A">
        <w:rPr>
          <w:rFonts w:ascii="Cambria" w:hAnsi="Cambria"/>
          <w:b/>
          <w:bCs/>
        </w:rPr>
        <w:t xml:space="preserve">. Oktober 2014 </w:t>
      </w:r>
    </w:p>
    <w:p w:rsidR="00A2144E" w:rsidRPr="009F6C6A" w:rsidRDefault="00A2144E" w:rsidP="00A2144E">
      <w:pPr>
        <w:pStyle w:val="Default"/>
        <w:rPr>
          <w:rFonts w:ascii="Cambria" w:hAnsi="Cambria"/>
          <w:b/>
          <w:bCs/>
        </w:rPr>
      </w:pPr>
    </w:p>
    <w:p w:rsidR="00A2144E" w:rsidRPr="009F6C6A" w:rsidRDefault="00A2144E" w:rsidP="00A2144E">
      <w:pPr>
        <w:pStyle w:val="Default"/>
        <w:rPr>
          <w:rFonts w:ascii="Cambria" w:hAnsi="Cambria"/>
        </w:rPr>
      </w:pPr>
      <w:r w:rsidRPr="009F6C6A">
        <w:rPr>
          <w:rFonts w:ascii="Cambria" w:hAnsi="Cambria"/>
          <w:b/>
          <w:bCs/>
        </w:rPr>
        <w:t xml:space="preserve">Seminarbeschreibung: </w:t>
      </w:r>
    </w:p>
    <w:p w:rsidR="00C2587C" w:rsidRPr="009F6C6A" w:rsidRDefault="00C2587C" w:rsidP="00854A4F">
      <w:pPr>
        <w:jc w:val="both"/>
        <w:rPr>
          <w:rFonts w:ascii="Cambria" w:hAnsi="Cambria" w:cs="Arial"/>
        </w:rPr>
      </w:pPr>
      <w:r w:rsidRPr="009F6C6A">
        <w:rPr>
          <w:rFonts w:ascii="Cambria" w:hAnsi="Cambria" w:cs="Verdana"/>
          <w:color w:val="1A1A1A"/>
        </w:rPr>
        <w:t xml:space="preserve">Warum fallen Sozialleistungen westlicher Wohlfahrtsstaaten so verschieden aus und welche Auswirkungen erzeugen diese Unterschiede im Hinblick auf die wirtschaftliche Wettbewerbsfähigkeit sowie den sozialen Zusammenhalt in den jeweiligen Ländern? Um diese Fragen zu beantworten, werden wir Ursachen für die institutionellen Entwicklungen der </w:t>
      </w:r>
      <w:r w:rsidR="00854A4F" w:rsidRPr="009F6C6A">
        <w:rPr>
          <w:rFonts w:ascii="Cambria" w:hAnsi="Cambria" w:cs="Verdana"/>
          <w:color w:val="1A1A1A"/>
        </w:rPr>
        <w:t xml:space="preserve">sozialen Sicherungssysteme </w:t>
      </w:r>
      <w:r w:rsidRPr="009F6C6A">
        <w:rPr>
          <w:rFonts w:ascii="Cambria" w:hAnsi="Cambria" w:cs="Verdana"/>
          <w:color w:val="1A1A1A"/>
        </w:rPr>
        <w:t xml:space="preserve">in den westlichen Ländern analysieren; dabei diskutieren wir auch die Erklärungskraft der in diesem Forschungsfeld etablierten theoretischen Ansätze. In einem zweiten Teil des Seminars untersuchen wir die wirtschaftlichen und sozialen Auswirkungen der divergierenden institutionellen Regelungen von Wohlfahrtsstaaten. Während einige Autoren </w:t>
      </w:r>
      <w:r w:rsidR="00854A4F" w:rsidRPr="009F6C6A">
        <w:rPr>
          <w:rFonts w:ascii="Cambria" w:hAnsi="Cambria" w:cs="Verdana"/>
          <w:color w:val="1A1A1A"/>
        </w:rPr>
        <w:t>annehmen</w:t>
      </w:r>
      <w:r w:rsidRPr="009F6C6A">
        <w:rPr>
          <w:rFonts w:ascii="Cambria" w:hAnsi="Cambria" w:cs="Verdana"/>
          <w:color w:val="1A1A1A"/>
        </w:rPr>
        <w:t>, dass ein Abbau sozialstaatlicher Leistungen unvermeidlich sei, um wirtschaftliche Wettbewerbsfähigkeit wiederherzustellen und die sozialen Sicherungssysteme zu retten, fordern Kritiker eine stärker egalitär ausgerichtete Politik. Die zweite Gruppe von Autoren macht vor allem den gestiegenen Einfluss von Interessengruppen für die zunehmende wirtschaftliche Ungleichheit und die wachsenden soziale Risiken in modernen Gesellschaften verantwortlich. Wir werden die Argumente beider Lager diskutieren und Schlussfolgerungen über die mögliche Zukunft westlicher Wohlfahrtsstaaten ziehen.</w:t>
      </w:r>
    </w:p>
    <w:p w:rsidR="00A2144E" w:rsidRPr="009F6C6A" w:rsidRDefault="00A2144E" w:rsidP="00A2144E">
      <w:pPr>
        <w:pStyle w:val="Default"/>
        <w:rPr>
          <w:rFonts w:ascii="Cambria" w:hAnsi="Cambria"/>
          <w:b/>
          <w:bCs/>
        </w:rPr>
      </w:pPr>
    </w:p>
    <w:p w:rsidR="00A2144E" w:rsidRPr="009F6C6A" w:rsidRDefault="00A2144E" w:rsidP="00A2144E">
      <w:pPr>
        <w:pStyle w:val="Default"/>
        <w:rPr>
          <w:rFonts w:ascii="Cambria" w:hAnsi="Cambria"/>
        </w:rPr>
      </w:pPr>
      <w:r w:rsidRPr="009F6C6A">
        <w:rPr>
          <w:rFonts w:ascii="Cambria" w:hAnsi="Cambria"/>
          <w:b/>
          <w:bCs/>
        </w:rPr>
        <w:t xml:space="preserve">Literatur: </w:t>
      </w:r>
    </w:p>
    <w:p w:rsidR="00A2144E" w:rsidRPr="009F6C6A" w:rsidRDefault="00A2144E" w:rsidP="00A2144E">
      <w:pPr>
        <w:pStyle w:val="Default"/>
        <w:rPr>
          <w:rFonts w:ascii="Cambria" w:hAnsi="Cambria"/>
          <w:lang w:val="en-US"/>
        </w:rPr>
      </w:pPr>
    </w:p>
    <w:p w:rsidR="00A2144E" w:rsidRPr="009F6C6A" w:rsidRDefault="00A2144E" w:rsidP="00A2144E">
      <w:pPr>
        <w:pStyle w:val="Default"/>
        <w:rPr>
          <w:rFonts w:ascii="Cambria" w:hAnsi="Cambria"/>
          <w:lang w:val="en-US"/>
        </w:rPr>
      </w:pPr>
      <w:r w:rsidRPr="009F6C6A">
        <w:rPr>
          <w:rFonts w:ascii="Cambria" w:hAnsi="Cambria"/>
          <w:lang w:val="en-US"/>
        </w:rPr>
        <w:t xml:space="preserve">1) Esping-Andersen, Gøsta (1990): The Three Worlds of Welfare Capitalism. Princeton: Princeton University Press. </w:t>
      </w:r>
    </w:p>
    <w:p w:rsidR="00A2144E" w:rsidRPr="009F6C6A" w:rsidRDefault="00A2144E" w:rsidP="00A2144E">
      <w:pPr>
        <w:pStyle w:val="Default"/>
        <w:rPr>
          <w:rFonts w:ascii="Cambria" w:hAnsi="Cambria"/>
          <w:lang w:val="en-US"/>
        </w:rPr>
      </w:pPr>
      <w:r w:rsidRPr="009F6C6A">
        <w:rPr>
          <w:rFonts w:ascii="Cambria" w:hAnsi="Cambria"/>
          <w:lang w:val="en-US"/>
        </w:rPr>
        <w:t xml:space="preserve">2) Esping-Andersen, Gøsta (1999): Social Foundations of Postindustrial Economies. Oxford: Oxford University Press. </w:t>
      </w:r>
    </w:p>
    <w:p w:rsidR="00A2144E" w:rsidRPr="009F6C6A" w:rsidRDefault="00A2144E" w:rsidP="00A2144E">
      <w:pPr>
        <w:pStyle w:val="Default"/>
        <w:rPr>
          <w:rFonts w:ascii="Cambria" w:hAnsi="Cambria"/>
          <w:lang w:val="en-US"/>
        </w:rPr>
      </w:pPr>
      <w:r w:rsidRPr="009F6C6A">
        <w:rPr>
          <w:rFonts w:ascii="Cambria" w:hAnsi="Cambria"/>
          <w:lang w:val="en-US"/>
        </w:rPr>
        <w:t xml:space="preserve">3) Pierson, Paul ed. (2001): The New Politics of the Welfare State. Oxford: Oxford University Press. </w:t>
      </w:r>
    </w:p>
    <w:p w:rsidR="00A2144E" w:rsidRPr="009F6C6A" w:rsidRDefault="00A2144E" w:rsidP="00A2144E">
      <w:pPr>
        <w:pStyle w:val="Default"/>
        <w:rPr>
          <w:rFonts w:ascii="Cambria" w:hAnsi="Cambria"/>
          <w:lang w:val="en-US"/>
        </w:rPr>
      </w:pPr>
    </w:p>
    <w:p w:rsidR="00235E37" w:rsidRPr="009F6C6A" w:rsidRDefault="00235E37" w:rsidP="00235E37">
      <w:pPr>
        <w:rPr>
          <w:rFonts w:ascii="Cambria" w:hAnsi="Cambria"/>
        </w:rPr>
      </w:pPr>
      <w:r w:rsidRPr="009F6C6A">
        <w:rPr>
          <w:rFonts w:ascii="Cambria" w:hAnsi="Cambria"/>
        </w:rPr>
        <w:t>Sitzung 1</w:t>
      </w:r>
    </w:p>
    <w:p w:rsidR="00235E37" w:rsidRPr="009F6C6A" w:rsidRDefault="00235E37" w:rsidP="00235E37">
      <w:pPr>
        <w:autoSpaceDE w:val="0"/>
        <w:autoSpaceDN w:val="0"/>
        <w:adjustRightInd w:val="0"/>
        <w:rPr>
          <w:rFonts w:ascii="Cambria" w:hAnsi="Cambria"/>
          <w:i/>
          <w:iCs/>
        </w:rPr>
      </w:pPr>
      <w:r w:rsidRPr="009F6C6A">
        <w:rPr>
          <w:rFonts w:ascii="Cambria" w:hAnsi="Cambria"/>
          <w:i/>
          <w:iCs/>
        </w:rPr>
        <w:t>Seminarorganisation</w:t>
      </w:r>
    </w:p>
    <w:p w:rsidR="00235E37" w:rsidRPr="009F6C6A" w:rsidRDefault="00235E37" w:rsidP="00235E37">
      <w:pPr>
        <w:autoSpaceDE w:val="0"/>
        <w:autoSpaceDN w:val="0"/>
        <w:adjustRightInd w:val="0"/>
        <w:rPr>
          <w:rFonts w:ascii="Cambria" w:hAnsi="Cambria"/>
          <w:b/>
          <w:bCs/>
        </w:rPr>
      </w:pPr>
    </w:p>
    <w:p w:rsidR="00235E37" w:rsidRPr="009F6C6A" w:rsidRDefault="00235E37" w:rsidP="00235E37">
      <w:pPr>
        <w:autoSpaceDE w:val="0"/>
        <w:autoSpaceDN w:val="0"/>
        <w:adjustRightInd w:val="0"/>
        <w:rPr>
          <w:rFonts w:ascii="Cambria" w:hAnsi="Cambria"/>
          <w:b/>
          <w:bCs/>
        </w:rPr>
      </w:pPr>
      <w:r w:rsidRPr="009F6C6A">
        <w:rPr>
          <w:rFonts w:ascii="Cambria" w:hAnsi="Cambria"/>
          <w:b/>
          <w:bCs/>
        </w:rPr>
        <w:t>Wohlfahrtsstaatstypen – Ursachen und Wirkungen</w:t>
      </w:r>
    </w:p>
    <w:p w:rsidR="00235E37" w:rsidRPr="009F6C6A" w:rsidRDefault="00235E37" w:rsidP="00235E37">
      <w:pPr>
        <w:autoSpaceDE w:val="0"/>
        <w:autoSpaceDN w:val="0"/>
        <w:adjustRightInd w:val="0"/>
        <w:rPr>
          <w:rFonts w:ascii="Cambria" w:hAnsi="Cambria"/>
          <w:b/>
          <w:bCs/>
        </w:rPr>
      </w:pPr>
    </w:p>
    <w:p w:rsidR="00235E37" w:rsidRPr="009F6C6A" w:rsidRDefault="00235E37" w:rsidP="00235E37">
      <w:pPr>
        <w:autoSpaceDE w:val="0"/>
        <w:autoSpaceDN w:val="0"/>
        <w:adjustRightInd w:val="0"/>
        <w:rPr>
          <w:rFonts w:ascii="Cambria" w:hAnsi="Cambria"/>
          <w:bCs/>
          <w:lang w:val="en-US"/>
        </w:rPr>
      </w:pPr>
      <w:r w:rsidRPr="009F6C6A">
        <w:rPr>
          <w:rFonts w:ascii="Cambria" w:hAnsi="Cambria"/>
          <w:bCs/>
          <w:lang w:val="en-US"/>
        </w:rPr>
        <w:t>Sitzung 2</w:t>
      </w:r>
    </w:p>
    <w:p w:rsidR="00235E37" w:rsidRPr="009F6C6A" w:rsidRDefault="00235E37" w:rsidP="00235E37">
      <w:pPr>
        <w:autoSpaceDE w:val="0"/>
        <w:autoSpaceDN w:val="0"/>
        <w:adjustRightInd w:val="0"/>
        <w:rPr>
          <w:rFonts w:ascii="Cambria" w:hAnsi="Cambria"/>
          <w:bCs/>
          <w:i/>
          <w:lang w:val="en-US"/>
        </w:rPr>
      </w:pPr>
      <w:r w:rsidRPr="009F6C6A">
        <w:rPr>
          <w:rFonts w:ascii="Cambria" w:hAnsi="Cambria"/>
          <w:bCs/>
          <w:i/>
          <w:lang w:val="en-US"/>
        </w:rPr>
        <w:t>Normative Grundlagen moderner Wohlfahrtsstaaten</w:t>
      </w:r>
    </w:p>
    <w:p w:rsidR="00235E37" w:rsidRPr="009F6C6A" w:rsidRDefault="00235E37" w:rsidP="00235E37">
      <w:pPr>
        <w:autoSpaceDE w:val="0"/>
        <w:autoSpaceDN w:val="0"/>
        <w:adjustRightInd w:val="0"/>
        <w:rPr>
          <w:rFonts w:ascii="Cambria" w:hAnsi="Cambria"/>
          <w:b/>
          <w:bCs/>
          <w:lang w:val="en-US"/>
        </w:rPr>
      </w:pPr>
    </w:p>
    <w:p w:rsidR="00235E37" w:rsidRPr="009F6C6A" w:rsidRDefault="00235E37" w:rsidP="00235E37">
      <w:pPr>
        <w:autoSpaceDE w:val="0"/>
        <w:autoSpaceDN w:val="0"/>
        <w:adjustRightInd w:val="0"/>
        <w:rPr>
          <w:rFonts w:ascii="Cambria" w:hAnsi="Cambria"/>
          <w:bCs/>
          <w:lang w:val="en-US"/>
        </w:rPr>
      </w:pPr>
      <w:r w:rsidRPr="009F6C6A">
        <w:rPr>
          <w:rFonts w:ascii="Cambria" w:hAnsi="Cambria"/>
          <w:bCs/>
          <w:lang w:val="en-US"/>
        </w:rPr>
        <w:t>Marshall, Thomas H. (1950): Citizenship and Social Class. Cambridge: Cambridge University Press: 27-74.</w:t>
      </w:r>
    </w:p>
    <w:p w:rsidR="00235E37" w:rsidRPr="009F6C6A" w:rsidRDefault="00235E37" w:rsidP="00235E37">
      <w:pPr>
        <w:autoSpaceDE w:val="0"/>
        <w:autoSpaceDN w:val="0"/>
        <w:adjustRightInd w:val="0"/>
        <w:rPr>
          <w:rFonts w:ascii="Cambria" w:hAnsi="Cambria"/>
          <w:bCs/>
        </w:rPr>
      </w:pPr>
    </w:p>
    <w:p w:rsidR="00235E37" w:rsidRPr="009F6C6A" w:rsidRDefault="00235E37" w:rsidP="00235E37">
      <w:pPr>
        <w:autoSpaceDE w:val="0"/>
        <w:autoSpaceDN w:val="0"/>
        <w:adjustRightInd w:val="0"/>
        <w:rPr>
          <w:rFonts w:ascii="Cambria" w:hAnsi="Cambria"/>
          <w:bCs/>
        </w:rPr>
      </w:pPr>
      <w:r w:rsidRPr="009F6C6A">
        <w:rPr>
          <w:rFonts w:ascii="Cambria" w:hAnsi="Cambria"/>
          <w:bCs/>
        </w:rPr>
        <w:t>Sitzung 3</w:t>
      </w:r>
    </w:p>
    <w:p w:rsidR="00235E37" w:rsidRPr="009F6C6A" w:rsidRDefault="00235E37" w:rsidP="00235E37">
      <w:pPr>
        <w:autoSpaceDE w:val="0"/>
        <w:autoSpaceDN w:val="0"/>
        <w:adjustRightInd w:val="0"/>
        <w:rPr>
          <w:rFonts w:ascii="Cambria" w:hAnsi="Cambria"/>
          <w:i/>
          <w:iCs/>
        </w:rPr>
      </w:pPr>
      <w:r w:rsidRPr="009F6C6A">
        <w:rPr>
          <w:rFonts w:ascii="Cambria" w:hAnsi="Cambria"/>
          <w:i/>
          <w:iCs/>
        </w:rPr>
        <w:t>Klassenkonflikt und wohlfahrtsstaatliche Institutionen</w:t>
      </w:r>
    </w:p>
    <w:p w:rsidR="00235E37" w:rsidRPr="009F6C6A" w:rsidRDefault="00235E37" w:rsidP="00235E37">
      <w:pPr>
        <w:autoSpaceDE w:val="0"/>
        <w:autoSpaceDN w:val="0"/>
        <w:adjustRightInd w:val="0"/>
        <w:rPr>
          <w:rFonts w:ascii="Cambria" w:hAnsi="Cambria"/>
          <w:b/>
          <w:bCs/>
        </w:rPr>
      </w:pPr>
    </w:p>
    <w:p w:rsidR="00235E37" w:rsidRPr="009F6C6A" w:rsidRDefault="00235E37" w:rsidP="00235E37">
      <w:pPr>
        <w:autoSpaceDE w:val="0"/>
        <w:autoSpaceDN w:val="0"/>
        <w:adjustRightInd w:val="0"/>
        <w:rPr>
          <w:rFonts w:ascii="Cambria" w:hAnsi="Cambria"/>
        </w:rPr>
      </w:pPr>
      <w:r w:rsidRPr="009F6C6A">
        <w:rPr>
          <w:rFonts w:ascii="Cambria" w:hAnsi="Cambria"/>
        </w:rPr>
        <w:lastRenderedPageBreak/>
        <w:t>Esping-Andersen, Gøsta (1990): The Three Worlds of Welfare Capitalism. Princeton, New Jersey: Princeton University Press: 35-78.</w:t>
      </w:r>
    </w:p>
    <w:p w:rsidR="00235E37" w:rsidRPr="009F6C6A" w:rsidRDefault="00235E37" w:rsidP="00235E37">
      <w:pPr>
        <w:autoSpaceDE w:val="0"/>
        <w:autoSpaceDN w:val="0"/>
        <w:adjustRightInd w:val="0"/>
        <w:rPr>
          <w:rFonts w:ascii="Cambria" w:hAnsi="Cambria"/>
          <w:b/>
          <w:bCs/>
        </w:rPr>
      </w:pPr>
    </w:p>
    <w:p w:rsidR="00235E37" w:rsidRPr="009F6C6A" w:rsidRDefault="00235E37" w:rsidP="00235E37">
      <w:pPr>
        <w:autoSpaceDE w:val="0"/>
        <w:autoSpaceDN w:val="0"/>
        <w:adjustRightInd w:val="0"/>
        <w:rPr>
          <w:rFonts w:ascii="Cambria" w:hAnsi="Cambria"/>
          <w:bCs/>
        </w:rPr>
      </w:pPr>
      <w:r w:rsidRPr="009F6C6A">
        <w:rPr>
          <w:rFonts w:ascii="Cambria" w:hAnsi="Cambria"/>
          <w:bCs/>
        </w:rPr>
        <w:t>Sitzung 4</w:t>
      </w:r>
    </w:p>
    <w:p w:rsidR="00235E37" w:rsidRPr="009F6C6A" w:rsidRDefault="00235E37" w:rsidP="00235E37">
      <w:pPr>
        <w:autoSpaceDE w:val="0"/>
        <w:autoSpaceDN w:val="0"/>
        <w:adjustRightInd w:val="0"/>
        <w:rPr>
          <w:rFonts w:ascii="Cambria" w:hAnsi="Cambria"/>
          <w:i/>
          <w:iCs/>
        </w:rPr>
      </w:pPr>
      <w:r w:rsidRPr="009F6C6A">
        <w:rPr>
          <w:rFonts w:ascii="Cambria" w:hAnsi="Cambria"/>
          <w:i/>
          <w:iCs/>
        </w:rPr>
        <w:t>Familien, Geschlechterrollen und Wohlfahrt</w:t>
      </w:r>
    </w:p>
    <w:p w:rsidR="00235E37" w:rsidRPr="009F6C6A" w:rsidRDefault="00235E37" w:rsidP="00235E37">
      <w:pPr>
        <w:autoSpaceDE w:val="0"/>
        <w:autoSpaceDN w:val="0"/>
        <w:adjustRightInd w:val="0"/>
        <w:rPr>
          <w:rFonts w:ascii="Cambria" w:hAnsi="Cambria"/>
          <w:b/>
          <w:bCs/>
        </w:rPr>
      </w:pPr>
    </w:p>
    <w:p w:rsidR="00235E37" w:rsidRPr="009F6C6A" w:rsidRDefault="00235E37" w:rsidP="00235E37">
      <w:pPr>
        <w:autoSpaceDE w:val="0"/>
        <w:autoSpaceDN w:val="0"/>
        <w:adjustRightInd w:val="0"/>
        <w:rPr>
          <w:rFonts w:ascii="Cambria" w:hAnsi="Cambria"/>
        </w:rPr>
      </w:pPr>
      <w:r w:rsidRPr="009F6C6A">
        <w:rPr>
          <w:rFonts w:ascii="Cambria" w:hAnsi="Cambria"/>
          <w:lang w:val="en-US"/>
        </w:rPr>
        <w:t xml:space="preserve">Esping-Andersen, Gøsta (1999): Social Foundations of Postindustrial Economies. </w:t>
      </w:r>
      <w:r w:rsidRPr="009F6C6A">
        <w:rPr>
          <w:rFonts w:ascii="Cambria" w:hAnsi="Cambria"/>
        </w:rPr>
        <w:t>Oxford: Oxford University Press: 32-72.</w:t>
      </w:r>
    </w:p>
    <w:p w:rsidR="00235E37" w:rsidRPr="009F6C6A" w:rsidRDefault="00235E37" w:rsidP="00235E37">
      <w:pPr>
        <w:autoSpaceDE w:val="0"/>
        <w:autoSpaceDN w:val="0"/>
        <w:adjustRightInd w:val="0"/>
        <w:rPr>
          <w:rFonts w:ascii="Cambria" w:hAnsi="Cambria"/>
          <w:b/>
          <w:bCs/>
        </w:rPr>
      </w:pPr>
    </w:p>
    <w:p w:rsidR="00235E37" w:rsidRPr="009F6C6A" w:rsidRDefault="00235E37" w:rsidP="00235E37">
      <w:pPr>
        <w:autoSpaceDE w:val="0"/>
        <w:autoSpaceDN w:val="0"/>
        <w:adjustRightInd w:val="0"/>
        <w:rPr>
          <w:rFonts w:ascii="Cambria" w:hAnsi="Cambria"/>
          <w:bCs/>
        </w:rPr>
      </w:pPr>
      <w:r w:rsidRPr="009F6C6A">
        <w:rPr>
          <w:rFonts w:ascii="Cambria" w:hAnsi="Cambria"/>
          <w:bCs/>
        </w:rPr>
        <w:t>Sitzung 5</w:t>
      </w:r>
    </w:p>
    <w:p w:rsidR="00235E37" w:rsidRPr="009F6C6A" w:rsidRDefault="00235E37" w:rsidP="00235E37">
      <w:pPr>
        <w:autoSpaceDE w:val="0"/>
        <w:autoSpaceDN w:val="0"/>
        <w:adjustRightInd w:val="0"/>
        <w:rPr>
          <w:rFonts w:ascii="Cambria" w:hAnsi="Cambria"/>
          <w:bCs/>
          <w:i/>
        </w:rPr>
      </w:pPr>
      <w:r w:rsidRPr="009F6C6A">
        <w:rPr>
          <w:rFonts w:ascii="Cambria" w:hAnsi="Cambria"/>
          <w:bCs/>
          <w:i/>
        </w:rPr>
        <w:t xml:space="preserve">Nur drei wohlfahrtsstaatliche Typen? Die Besonderheiten der Mittelmeerländer </w:t>
      </w:r>
    </w:p>
    <w:p w:rsidR="00235E37" w:rsidRPr="009F6C6A" w:rsidRDefault="00235E37" w:rsidP="00235E37">
      <w:pPr>
        <w:autoSpaceDE w:val="0"/>
        <w:autoSpaceDN w:val="0"/>
        <w:adjustRightInd w:val="0"/>
        <w:rPr>
          <w:rFonts w:ascii="Cambria" w:hAnsi="Cambria"/>
          <w:b/>
          <w:bCs/>
        </w:rPr>
      </w:pPr>
    </w:p>
    <w:p w:rsidR="00235E37" w:rsidRPr="009F6C6A" w:rsidRDefault="00235E37" w:rsidP="00235E37">
      <w:pPr>
        <w:autoSpaceDE w:val="0"/>
        <w:autoSpaceDN w:val="0"/>
        <w:adjustRightInd w:val="0"/>
        <w:rPr>
          <w:rFonts w:ascii="Cambria" w:hAnsi="Cambria"/>
          <w:bCs/>
          <w:lang w:val="en-US"/>
        </w:rPr>
      </w:pPr>
      <w:r w:rsidRPr="009F6C6A">
        <w:rPr>
          <w:rFonts w:ascii="Cambria" w:hAnsi="Cambria"/>
          <w:bCs/>
          <w:lang w:val="en-US"/>
        </w:rPr>
        <w:t>Trifiletti, Rossana (1999): Southern European Welfare Regimes and the Worsening Position of Women, in: Journal of European Social Policy, 9 (1): 49-64.</w:t>
      </w:r>
    </w:p>
    <w:p w:rsidR="00235E37" w:rsidRPr="009F6C6A" w:rsidRDefault="00235E37" w:rsidP="00235E37">
      <w:pPr>
        <w:autoSpaceDE w:val="0"/>
        <w:autoSpaceDN w:val="0"/>
        <w:adjustRightInd w:val="0"/>
        <w:rPr>
          <w:rFonts w:ascii="Cambria" w:hAnsi="Cambria"/>
          <w:b/>
          <w:bCs/>
          <w:lang w:val="en-US"/>
        </w:rPr>
      </w:pPr>
    </w:p>
    <w:p w:rsidR="00235E37" w:rsidRPr="009F6C6A" w:rsidRDefault="00235E37" w:rsidP="00235E37">
      <w:pPr>
        <w:autoSpaceDE w:val="0"/>
        <w:autoSpaceDN w:val="0"/>
        <w:adjustRightInd w:val="0"/>
        <w:rPr>
          <w:rFonts w:ascii="Cambria" w:hAnsi="Cambria"/>
          <w:bCs/>
        </w:rPr>
      </w:pPr>
      <w:r w:rsidRPr="009F6C6A">
        <w:rPr>
          <w:rFonts w:ascii="Cambria" w:hAnsi="Cambria"/>
          <w:bCs/>
        </w:rPr>
        <w:t>Sitzung 6</w:t>
      </w:r>
    </w:p>
    <w:p w:rsidR="00235E37" w:rsidRPr="009F6C6A" w:rsidRDefault="00235E37" w:rsidP="00235E37">
      <w:pPr>
        <w:autoSpaceDE w:val="0"/>
        <w:autoSpaceDN w:val="0"/>
        <w:adjustRightInd w:val="0"/>
        <w:rPr>
          <w:rFonts w:ascii="Cambria" w:hAnsi="Cambria"/>
          <w:bCs/>
          <w:i/>
        </w:rPr>
      </w:pPr>
      <w:r w:rsidRPr="009F6C6A">
        <w:rPr>
          <w:rFonts w:ascii="Cambria" w:hAnsi="Cambria"/>
          <w:bCs/>
          <w:i/>
        </w:rPr>
        <w:t>Arbeitgeberinteressen und der Wohlfahrtsstaat</w:t>
      </w:r>
    </w:p>
    <w:p w:rsidR="00235E37" w:rsidRPr="009F6C6A" w:rsidRDefault="00235E37" w:rsidP="00235E37">
      <w:pPr>
        <w:autoSpaceDE w:val="0"/>
        <w:autoSpaceDN w:val="0"/>
        <w:adjustRightInd w:val="0"/>
        <w:rPr>
          <w:rFonts w:ascii="Cambria" w:hAnsi="Cambria"/>
          <w:b/>
          <w:bCs/>
        </w:rPr>
      </w:pPr>
    </w:p>
    <w:p w:rsidR="00235E37" w:rsidRPr="009F6C6A" w:rsidRDefault="00235E37" w:rsidP="00235E37">
      <w:pPr>
        <w:autoSpaceDE w:val="0"/>
        <w:autoSpaceDN w:val="0"/>
        <w:adjustRightInd w:val="0"/>
        <w:rPr>
          <w:rFonts w:ascii="Cambria" w:hAnsi="Cambria"/>
          <w:lang w:val="en-US"/>
        </w:rPr>
      </w:pPr>
      <w:r w:rsidRPr="009F6C6A">
        <w:rPr>
          <w:rFonts w:ascii="Cambria" w:hAnsi="Cambria"/>
        </w:rPr>
        <w:t xml:space="preserve">Swank, Duane H./ Martin, Cathie Jo (2001): Employers and the Welfare State. </w:t>
      </w:r>
      <w:r w:rsidRPr="009F6C6A">
        <w:rPr>
          <w:rFonts w:ascii="Cambria" w:hAnsi="Cambria"/>
          <w:lang w:val="en-US"/>
        </w:rPr>
        <w:t xml:space="preserve">The Political Economic Organization of Firms and Social Policy in Contemporary Capitalist Democracies, in: </w:t>
      </w:r>
      <w:r w:rsidRPr="009F6C6A">
        <w:rPr>
          <w:rFonts w:ascii="Cambria" w:hAnsi="Cambria"/>
          <w:iCs/>
          <w:lang w:val="en-US"/>
        </w:rPr>
        <w:t>Comparative Political Studies</w:t>
      </w:r>
      <w:r w:rsidRPr="009F6C6A">
        <w:rPr>
          <w:rFonts w:ascii="Cambria" w:hAnsi="Cambria"/>
          <w:i/>
          <w:iCs/>
          <w:lang w:val="en-US"/>
        </w:rPr>
        <w:t xml:space="preserve"> </w:t>
      </w:r>
      <w:r w:rsidRPr="009F6C6A">
        <w:rPr>
          <w:rFonts w:ascii="Cambria" w:hAnsi="Cambria"/>
          <w:lang w:val="en-US"/>
        </w:rPr>
        <w:t>34 (8): 889-923.</w:t>
      </w:r>
    </w:p>
    <w:p w:rsidR="00235E37" w:rsidRPr="009F6C6A" w:rsidRDefault="00235E37" w:rsidP="00235E37">
      <w:pPr>
        <w:autoSpaceDE w:val="0"/>
        <w:autoSpaceDN w:val="0"/>
        <w:adjustRightInd w:val="0"/>
        <w:rPr>
          <w:rFonts w:ascii="Cambria" w:hAnsi="Cambria"/>
          <w:b/>
          <w:bCs/>
          <w:lang w:val="en-US"/>
        </w:rPr>
      </w:pPr>
    </w:p>
    <w:p w:rsidR="00235E37" w:rsidRPr="009F6C6A" w:rsidRDefault="00235E37" w:rsidP="00235E37">
      <w:pPr>
        <w:autoSpaceDE w:val="0"/>
        <w:autoSpaceDN w:val="0"/>
        <w:adjustRightInd w:val="0"/>
        <w:rPr>
          <w:rFonts w:ascii="Cambria" w:hAnsi="Cambria"/>
          <w:iCs/>
        </w:rPr>
      </w:pPr>
      <w:r w:rsidRPr="009F6C6A">
        <w:rPr>
          <w:rFonts w:ascii="Cambria" w:hAnsi="Cambria"/>
          <w:iCs/>
        </w:rPr>
        <w:t>Sitzung 7</w:t>
      </w:r>
    </w:p>
    <w:p w:rsidR="00235E37" w:rsidRPr="009F6C6A" w:rsidRDefault="00235E37" w:rsidP="00235E37">
      <w:pPr>
        <w:autoSpaceDE w:val="0"/>
        <w:autoSpaceDN w:val="0"/>
        <w:adjustRightInd w:val="0"/>
        <w:rPr>
          <w:rFonts w:ascii="Cambria" w:hAnsi="Cambria"/>
          <w:i/>
          <w:iCs/>
        </w:rPr>
      </w:pPr>
      <w:r w:rsidRPr="009F6C6A">
        <w:rPr>
          <w:rFonts w:ascii="Cambria" w:hAnsi="Cambria"/>
          <w:i/>
          <w:iCs/>
        </w:rPr>
        <w:t>Die religiösen Grundlagen des modernen Wohlfahrtsstaats</w:t>
      </w:r>
    </w:p>
    <w:p w:rsidR="00235E37" w:rsidRPr="009F6C6A" w:rsidRDefault="00235E37" w:rsidP="00A2144E">
      <w:pPr>
        <w:pStyle w:val="Default"/>
        <w:rPr>
          <w:rFonts w:ascii="Cambria" w:hAnsi="Cambria"/>
          <w:i/>
          <w:iCs/>
        </w:rPr>
      </w:pPr>
    </w:p>
    <w:p w:rsidR="00A2144E" w:rsidRPr="009F6C6A" w:rsidRDefault="00A2144E" w:rsidP="00A2144E">
      <w:pPr>
        <w:pStyle w:val="Default"/>
        <w:rPr>
          <w:rFonts w:ascii="Cambria" w:hAnsi="Cambria"/>
          <w:lang w:val="en-US"/>
        </w:rPr>
      </w:pPr>
      <w:r w:rsidRPr="009F6C6A">
        <w:rPr>
          <w:rFonts w:ascii="Cambria" w:hAnsi="Cambria"/>
          <w:lang w:val="en-US"/>
        </w:rPr>
        <w:t xml:space="preserve">Kahl, Sigrun (2005): The Religious Roots of Modern Poverty Policy: Catholic, Lutheran, and Reformed Protestant Traditions Compared, in: Archives Européennes de Sociologie, XLVI, 1: 91-126. </w:t>
      </w:r>
    </w:p>
    <w:p w:rsidR="00235E37" w:rsidRPr="009F6C6A" w:rsidRDefault="00235E37" w:rsidP="00A2144E">
      <w:pPr>
        <w:pStyle w:val="Default"/>
        <w:rPr>
          <w:rFonts w:ascii="Cambria" w:hAnsi="Cambria"/>
          <w:lang w:val="en-US"/>
        </w:rPr>
      </w:pPr>
    </w:p>
    <w:p w:rsidR="00235E37" w:rsidRPr="009F6C6A" w:rsidRDefault="00235E37" w:rsidP="00A2144E">
      <w:pPr>
        <w:pStyle w:val="Default"/>
        <w:rPr>
          <w:rFonts w:ascii="Cambria" w:hAnsi="Cambria"/>
        </w:rPr>
      </w:pPr>
      <w:r w:rsidRPr="009F6C6A">
        <w:rPr>
          <w:rFonts w:ascii="Cambria" w:hAnsi="Cambria"/>
        </w:rPr>
        <w:t>Sitzung 8</w:t>
      </w:r>
    </w:p>
    <w:p w:rsidR="00235E37" w:rsidRPr="009F6C6A" w:rsidRDefault="00A2144E" w:rsidP="00A2144E">
      <w:pPr>
        <w:pStyle w:val="Default"/>
        <w:rPr>
          <w:rFonts w:ascii="Cambria" w:hAnsi="Cambria"/>
          <w:i/>
          <w:iCs/>
        </w:rPr>
      </w:pPr>
      <w:r w:rsidRPr="009F6C6A">
        <w:rPr>
          <w:rFonts w:ascii="Cambria" w:hAnsi="Cambria"/>
          <w:i/>
          <w:iCs/>
        </w:rPr>
        <w:t>Demo</w:t>
      </w:r>
      <w:r w:rsidR="00235E37" w:rsidRPr="009F6C6A">
        <w:rPr>
          <w:rFonts w:ascii="Cambria" w:hAnsi="Cambria"/>
          <w:i/>
          <w:iCs/>
        </w:rPr>
        <w:t>kratische Institutionen</w:t>
      </w:r>
      <w:r w:rsidRPr="009F6C6A">
        <w:rPr>
          <w:rFonts w:ascii="Cambria" w:hAnsi="Cambria"/>
          <w:i/>
          <w:iCs/>
        </w:rPr>
        <w:t xml:space="preserve">, </w:t>
      </w:r>
      <w:r w:rsidR="00235E37" w:rsidRPr="009F6C6A">
        <w:rPr>
          <w:rFonts w:ascii="Cambria" w:hAnsi="Cambria"/>
          <w:i/>
          <w:iCs/>
        </w:rPr>
        <w:t xml:space="preserve">individuelles Verhalten und Wohlfahrt </w:t>
      </w:r>
    </w:p>
    <w:p w:rsidR="00235E37" w:rsidRPr="009F6C6A" w:rsidRDefault="00235E37" w:rsidP="00A2144E">
      <w:pPr>
        <w:pStyle w:val="Default"/>
        <w:rPr>
          <w:rFonts w:ascii="Cambria" w:hAnsi="Cambria"/>
          <w:i/>
          <w:iCs/>
        </w:rPr>
      </w:pPr>
    </w:p>
    <w:p w:rsidR="00235E37" w:rsidRPr="009F6C6A" w:rsidRDefault="0080112A" w:rsidP="00A2144E">
      <w:pPr>
        <w:pStyle w:val="Default"/>
        <w:rPr>
          <w:rFonts w:ascii="Cambria" w:hAnsi="Cambria"/>
          <w:b/>
          <w:bCs/>
        </w:rPr>
      </w:pPr>
      <w:r w:rsidRPr="009F6C6A">
        <w:rPr>
          <w:rFonts w:ascii="Cambria" w:hAnsi="Cambria"/>
        </w:rPr>
        <w:t xml:space="preserve">Glassmann, Ulrich/ Sauermann, Jan (2011): </w:t>
      </w:r>
      <w:r w:rsidR="005052D9" w:rsidRPr="009F6C6A">
        <w:rPr>
          <w:rFonts w:ascii="Cambria" w:hAnsi="Cambria"/>
        </w:rPr>
        <w:t xml:space="preserve">Entscheidungskosten und </w:t>
      </w:r>
      <w:r w:rsidRPr="009F6C6A">
        <w:rPr>
          <w:rFonts w:ascii="Cambria" w:hAnsi="Cambria"/>
        </w:rPr>
        <w:t>G</w:t>
      </w:r>
      <w:r w:rsidR="005052D9" w:rsidRPr="009F6C6A">
        <w:rPr>
          <w:rFonts w:ascii="Cambria" w:hAnsi="Cambria"/>
        </w:rPr>
        <w:t xml:space="preserve">emeinwohleffekte demokratischer Abstimmungsregeln – eine experimentelle Untersuchung. </w:t>
      </w:r>
      <w:r w:rsidR="005052D9" w:rsidRPr="009F6C6A">
        <w:rPr>
          <w:rStyle w:val="Hervorhebung"/>
          <w:rFonts w:ascii="Cambria" w:hAnsi="Cambria"/>
        </w:rPr>
        <w:t>Politische Vierteljahresschrift</w:t>
      </w:r>
      <w:r w:rsidR="005052D9" w:rsidRPr="009F6C6A">
        <w:rPr>
          <w:rFonts w:ascii="Cambria" w:hAnsi="Cambria"/>
        </w:rPr>
        <w:t>, 52 (3): 373-398</w:t>
      </w:r>
      <w:r w:rsidRPr="009F6C6A">
        <w:rPr>
          <w:rFonts w:ascii="Cambria" w:hAnsi="Cambria"/>
        </w:rPr>
        <w:t>.</w:t>
      </w:r>
    </w:p>
    <w:p w:rsidR="005052D9" w:rsidRPr="009F6C6A" w:rsidRDefault="005052D9" w:rsidP="00A2144E">
      <w:pPr>
        <w:pStyle w:val="Default"/>
        <w:rPr>
          <w:rFonts w:ascii="Cambria" w:hAnsi="Cambria"/>
          <w:b/>
          <w:bCs/>
        </w:rPr>
      </w:pPr>
    </w:p>
    <w:p w:rsidR="008B3DD9" w:rsidRPr="009F6C6A" w:rsidRDefault="008B3DD9" w:rsidP="008B3DD9">
      <w:pPr>
        <w:autoSpaceDE w:val="0"/>
        <w:autoSpaceDN w:val="0"/>
        <w:adjustRightInd w:val="0"/>
        <w:rPr>
          <w:rFonts w:ascii="Cambria" w:hAnsi="Cambria"/>
          <w:b/>
          <w:bCs/>
        </w:rPr>
      </w:pPr>
      <w:r w:rsidRPr="009F6C6A">
        <w:rPr>
          <w:rFonts w:ascii="Cambria" w:hAnsi="Cambria"/>
          <w:b/>
          <w:bCs/>
        </w:rPr>
        <w:t>Sozialpolitik und wohlfahrtsstaatliche Institutionen</w:t>
      </w:r>
    </w:p>
    <w:p w:rsidR="008B3DD9" w:rsidRPr="009F6C6A" w:rsidRDefault="008B3DD9" w:rsidP="008B3DD9">
      <w:pPr>
        <w:autoSpaceDE w:val="0"/>
        <w:autoSpaceDN w:val="0"/>
        <w:adjustRightInd w:val="0"/>
        <w:rPr>
          <w:rFonts w:ascii="Cambria" w:hAnsi="Cambria"/>
          <w:b/>
          <w:bCs/>
        </w:rPr>
      </w:pPr>
    </w:p>
    <w:p w:rsidR="008B3DD9" w:rsidRPr="009F6C6A" w:rsidRDefault="008B3DD9" w:rsidP="008B3DD9">
      <w:pPr>
        <w:autoSpaceDE w:val="0"/>
        <w:autoSpaceDN w:val="0"/>
        <w:adjustRightInd w:val="0"/>
        <w:rPr>
          <w:rFonts w:ascii="Cambria" w:hAnsi="Cambria"/>
          <w:bCs/>
        </w:rPr>
      </w:pPr>
      <w:r w:rsidRPr="009F6C6A">
        <w:rPr>
          <w:rFonts w:ascii="Cambria" w:hAnsi="Cambria"/>
          <w:bCs/>
        </w:rPr>
        <w:t>Sitzung 9</w:t>
      </w:r>
    </w:p>
    <w:p w:rsidR="008B3DD9" w:rsidRPr="009F6C6A" w:rsidRDefault="008B3DD9" w:rsidP="008B3DD9">
      <w:pPr>
        <w:autoSpaceDE w:val="0"/>
        <w:autoSpaceDN w:val="0"/>
        <w:adjustRightInd w:val="0"/>
        <w:rPr>
          <w:rFonts w:ascii="Cambria" w:hAnsi="Cambria"/>
          <w:i/>
          <w:iCs/>
        </w:rPr>
      </w:pPr>
      <w:r w:rsidRPr="009F6C6A">
        <w:rPr>
          <w:rFonts w:ascii="Cambria" w:hAnsi="Cambria"/>
          <w:i/>
          <w:iCs/>
        </w:rPr>
        <w:t>Rentenpolitik in konservativen, liberalen und sozialdemokratischen Wohlfahrtsstaaten</w:t>
      </w:r>
    </w:p>
    <w:p w:rsidR="008B3DD9" w:rsidRPr="009F6C6A" w:rsidRDefault="008B3DD9" w:rsidP="008B3DD9">
      <w:pPr>
        <w:autoSpaceDE w:val="0"/>
        <w:autoSpaceDN w:val="0"/>
        <w:adjustRightInd w:val="0"/>
        <w:rPr>
          <w:rFonts w:ascii="Cambria" w:hAnsi="Cambria"/>
          <w:i/>
          <w:iCs/>
        </w:rPr>
      </w:pPr>
    </w:p>
    <w:p w:rsidR="008B3DD9" w:rsidRPr="009F6C6A" w:rsidRDefault="008B3DD9" w:rsidP="008B3DD9">
      <w:pPr>
        <w:autoSpaceDE w:val="0"/>
        <w:autoSpaceDN w:val="0"/>
        <w:adjustRightInd w:val="0"/>
        <w:rPr>
          <w:rFonts w:ascii="Cambria" w:hAnsi="Cambria"/>
        </w:rPr>
      </w:pPr>
      <w:r w:rsidRPr="009F6C6A">
        <w:rPr>
          <w:rFonts w:ascii="Cambria" w:hAnsi="Cambria"/>
          <w:lang w:val="en-US"/>
        </w:rPr>
        <w:t xml:space="preserve">Myles, John/ Pierson, Paul (2001): The Comparative Political Economy of Pension Reform, in: Pierson, Paul (eds.): The New Politics of the Welfare State. </w:t>
      </w:r>
      <w:r w:rsidRPr="009F6C6A">
        <w:rPr>
          <w:rFonts w:ascii="Cambria" w:hAnsi="Cambria"/>
        </w:rPr>
        <w:t>Oxford: Oxford University Press: 305-333.</w:t>
      </w:r>
    </w:p>
    <w:p w:rsidR="008B3DD9" w:rsidRPr="009F6C6A" w:rsidRDefault="008B3DD9" w:rsidP="008B3DD9">
      <w:pPr>
        <w:autoSpaceDE w:val="0"/>
        <w:autoSpaceDN w:val="0"/>
        <w:adjustRightInd w:val="0"/>
        <w:rPr>
          <w:rFonts w:ascii="Cambria" w:hAnsi="Cambria"/>
          <w:i/>
          <w:iCs/>
        </w:rPr>
      </w:pPr>
    </w:p>
    <w:p w:rsidR="008B3DD9" w:rsidRPr="009F6C6A" w:rsidRDefault="008B3DD9" w:rsidP="008B3DD9">
      <w:pPr>
        <w:autoSpaceDE w:val="0"/>
        <w:autoSpaceDN w:val="0"/>
        <w:adjustRightInd w:val="0"/>
        <w:rPr>
          <w:rFonts w:ascii="Cambria" w:hAnsi="Cambria"/>
          <w:bCs/>
        </w:rPr>
      </w:pPr>
      <w:r w:rsidRPr="009F6C6A">
        <w:rPr>
          <w:rFonts w:ascii="Cambria" w:hAnsi="Cambria"/>
          <w:bCs/>
        </w:rPr>
        <w:t>Sitzung 10</w:t>
      </w:r>
    </w:p>
    <w:p w:rsidR="008B3DD9" w:rsidRPr="009F6C6A" w:rsidRDefault="008B3DD9" w:rsidP="008B3DD9">
      <w:pPr>
        <w:autoSpaceDE w:val="0"/>
        <w:autoSpaceDN w:val="0"/>
        <w:adjustRightInd w:val="0"/>
        <w:rPr>
          <w:rFonts w:ascii="Cambria" w:hAnsi="Cambria"/>
          <w:i/>
          <w:iCs/>
        </w:rPr>
      </w:pPr>
      <w:r w:rsidRPr="009F6C6A">
        <w:rPr>
          <w:rFonts w:ascii="Cambria" w:hAnsi="Cambria"/>
          <w:i/>
          <w:iCs/>
        </w:rPr>
        <w:t>Gesundheitspolitik in konservativen, liberalen und sozialdemokratischen Wohlfahrtsstaaten</w:t>
      </w:r>
    </w:p>
    <w:p w:rsidR="008B3DD9" w:rsidRPr="009F6C6A" w:rsidRDefault="008B3DD9" w:rsidP="008B3DD9">
      <w:pPr>
        <w:autoSpaceDE w:val="0"/>
        <w:autoSpaceDN w:val="0"/>
        <w:adjustRightInd w:val="0"/>
        <w:rPr>
          <w:rFonts w:ascii="Cambria" w:hAnsi="Cambria"/>
        </w:rPr>
      </w:pPr>
    </w:p>
    <w:p w:rsidR="008B3DD9" w:rsidRPr="009F6C6A" w:rsidRDefault="008B3DD9" w:rsidP="008B3DD9">
      <w:pPr>
        <w:autoSpaceDE w:val="0"/>
        <w:autoSpaceDN w:val="0"/>
        <w:adjustRightInd w:val="0"/>
        <w:rPr>
          <w:rFonts w:ascii="Cambria" w:hAnsi="Cambria"/>
          <w:lang w:val="en-US"/>
        </w:rPr>
      </w:pPr>
      <w:r w:rsidRPr="009F6C6A">
        <w:rPr>
          <w:rFonts w:ascii="Cambria" w:hAnsi="Cambria"/>
          <w:lang w:val="en-US"/>
        </w:rPr>
        <w:lastRenderedPageBreak/>
        <w:t>Hacker, Jacob S. (2005): Policy Drift: The Hidden Politics of US Welfare Retrenchment, in: Streeck, Wolfgang and Thelen, Kathleen (eds.): Beyond Continuity. Institutional Change in Advanced Political Economies. Oxford: Oxford University Press: 40-82.</w:t>
      </w:r>
    </w:p>
    <w:p w:rsidR="008B3DD9" w:rsidRPr="009F6C6A" w:rsidRDefault="008B3DD9" w:rsidP="008B3DD9">
      <w:pPr>
        <w:autoSpaceDE w:val="0"/>
        <w:autoSpaceDN w:val="0"/>
        <w:adjustRightInd w:val="0"/>
        <w:rPr>
          <w:rFonts w:ascii="Cambria" w:hAnsi="Cambria"/>
          <w:b/>
          <w:bCs/>
          <w:lang w:val="en-US"/>
        </w:rPr>
      </w:pPr>
    </w:p>
    <w:p w:rsidR="008B3DD9" w:rsidRPr="009F6C6A" w:rsidRDefault="008B3DD9" w:rsidP="008B3DD9">
      <w:pPr>
        <w:autoSpaceDE w:val="0"/>
        <w:autoSpaceDN w:val="0"/>
        <w:adjustRightInd w:val="0"/>
        <w:rPr>
          <w:rFonts w:ascii="Cambria" w:hAnsi="Cambria"/>
          <w:b/>
          <w:bCs/>
          <w:lang w:val="en-US"/>
        </w:rPr>
      </w:pPr>
    </w:p>
    <w:p w:rsidR="008B3DD9" w:rsidRPr="009F6C6A" w:rsidRDefault="008B3DD9" w:rsidP="008B3DD9">
      <w:pPr>
        <w:autoSpaceDE w:val="0"/>
        <w:autoSpaceDN w:val="0"/>
        <w:adjustRightInd w:val="0"/>
        <w:rPr>
          <w:rFonts w:ascii="Cambria" w:hAnsi="Cambria"/>
          <w:b/>
          <w:bCs/>
        </w:rPr>
      </w:pPr>
      <w:r w:rsidRPr="009F6C6A">
        <w:rPr>
          <w:rFonts w:ascii="Cambria" w:hAnsi="Cambria"/>
          <w:b/>
          <w:bCs/>
        </w:rPr>
        <w:t>Wie verändert die Internationalisierung der Volkswirtschaften moderne Wohlfahrtsstaaten?</w:t>
      </w:r>
    </w:p>
    <w:p w:rsidR="008B3DD9" w:rsidRPr="009F6C6A" w:rsidRDefault="008B3DD9" w:rsidP="008B3DD9">
      <w:pPr>
        <w:autoSpaceDE w:val="0"/>
        <w:autoSpaceDN w:val="0"/>
        <w:adjustRightInd w:val="0"/>
        <w:rPr>
          <w:rFonts w:ascii="Cambria" w:hAnsi="Cambria"/>
          <w:b/>
          <w:bCs/>
        </w:rPr>
      </w:pPr>
    </w:p>
    <w:p w:rsidR="008B3DD9" w:rsidRPr="009F6C6A" w:rsidRDefault="008B3DD9" w:rsidP="008B3DD9">
      <w:pPr>
        <w:autoSpaceDE w:val="0"/>
        <w:autoSpaceDN w:val="0"/>
        <w:adjustRightInd w:val="0"/>
        <w:rPr>
          <w:rFonts w:ascii="Cambria" w:hAnsi="Cambria"/>
          <w:bCs/>
        </w:rPr>
      </w:pPr>
      <w:r w:rsidRPr="009F6C6A">
        <w:rPr>
          <w:rFonts w:ascii="Cambria" w:hAnsi="Cambria"/>
          <w:bCs/>
        </w:rPr>
        <w:t>Sitzung 11</w:t>
      </w:r>
    </w:p>
    <w:p w:rsidR="008B3DD9" w:rsidRPr="009F6C6A" w:rsidRDefault="008B3DD9" w:rsidP="008B3DD9">
      <w:pPr>
        <w:autoSpaceDE w:val="0"/>
        <w:autoSpaceDN w:val="0"/>
        <w:adjustRightInd w:val="0"/>
        <w:rPr>
          <w:rFonts w:ascii="Cambria" w:hAnsi="Cambria"/>
          <w:i/>
          <w:iCs/>
        </w:rPr>
      </w:pPr>
      <w:r w:rsidRPr="009F6C6A">
        <w:rPr>
          <w:rFonts w:ascii="Cambria" w:hAnsi="Cambria"/>
          <w:i/>
          <w:iCs/>
        </w:rPr>
        <w:t xml:space="preserve">Arbeitsmärkte unter Druck – Herausforderungen für moderne Wohlfahrtsstaaten </w:t>
      </w:r>
    </w:p>
    <w:p w:rsidR="008B3DD9" w:rsidRPr="009F6C6A" w:rsidRDefault="008B3DD9" w:rsidP="008B3DD9">
      <w:pPr>
        <w:autoSpaceDE w:val="0"/>
        <w:autoSpaceDN w:val="0"/>
        <w:adjustRightInd w:val="0"/>
        <w:rPr>
          <w:rFonts w:ascii="Cambria" w:hAnsi="Cambria"/>
        </w:rPr>
      </w:pPr>
    </w:p>
    <w:p w:rsidR="008B3DD9" w:rsidRPr="009F6C6A" w:rsidRDefault="008B3DD9" w:rsidP="008B3DD9">
      <w:pPr>
        <w:autoSpaceDE w:val="0"/>
        <w:autoSpaceDN w:val="0"/>
        <w:adjustRightInd w:val="0"/>
        <w:rPr>
          <w:rFonts w:ascii="Cambria" w:hAnsi="Cambria"/>
        </w:rPr>
      </w:pPr>
      <w:r w:rsidRPr="009F6C6A">
        <w:rPr>
          <w:rFonts w:ascii="Cambria" w:hAnsi="Cambria"/>
          <w:lang w:val="en-US"/>
        </w:rPr>
        <w:t xml:space="preserve">Scharpf, Fritz. W. (2001): Employment and the welfare state. A continental dilemma, in: Ebbinghaus, Bernhard/ Manow, Philip (eds.): Comparing Welfare Capitalism. Social policy and political economy in Europe, Japan, and the USA. </w:t>
      </w:r>
      <w:r w:rsidRPr="009F6C6A">
        <w:rPr>
          <w:rFonts w:ascii="Cambria" w:hAnsi="Cambria"/>
        </w:rPr>
        <w:t>London/ New York: Routledge: 270-283.</w:t>
      </w:r>
    </w:p>
    <w:p w:rsidR="008B3DD9" w:rsidRPr="009F6C6A" w:rsidRDefault="008B3DD9" w:rsidP="008B3DD9">
      <w:pPr>
        <w:autoSpaceDE w:val="0"/>
        <w:autoSpaceDN w:val="0"/>
        <w:adjustRightInd w:val="0"/>
        <w:rPr>
          <w:rFonts w:ascii="Cambria" w:hAnsi="Cambria"/>
          <w:b/>
          <w:bCs/>
        </w:rPr>
      </w:pPr>
    </w:p>
    <w:p w:rsidR="008B3DD9" w:rsidRPr="009F6C6A" w:rsidRDefault="008B3DD9" w:rsidP="008B3DD9">
      <w:pPr>
        <w:autoSpaceDE w:val="0"/>
        <w:autoSpaceDN w:val="0"/>
        <w:adjustRightInd w:val="0"/>
        <w:rPr>
          <w:rFonts w:ascii="Cambria" w:hAnsi="Cambria"/>
          <w:bCs/>
        </w:rPr>
      </w:pPr>
      <w:r w:rsidRPr="009F6C6A">
        <w:rPr>
          <w:rFonts w:ascii="Cambria" w:hAnsi="Cambria"/>
          <w:bCs/>
        </w:rPr>
        <w:t>Sitzung 12</w:t>
      </w:r>
    </w:p>
    <w:p w:rsidR="008B3DD9" w:rsidRPr="009F6C6A" w:rsidRDefault="008B3DD9" w:rsidP="008B3DD9">
      <w:pPr>
        <w:autoSpaceDE w:val="0"/>
        <w:autoSpaceDN w:val="0"/>
        <w:adjustRightInd w:val="0"/>
        <w:rPr>
          <w:rFonts w:ascii="Cambria" w:hAnsi="Cambria"/>
          <w:i/>
          <w:iCs/>
        </w:rPr>
      </w:pPr>
      <w:r w:rsidRPr="009F6C6A">
        <w:rPr>
          <w:rFonts w:ascii="Cambria" w:hAnsi="Cambria"/>
          <w:i/>
          <w:iCs/>
        </w:rPr>
        <w:t>Effekte wirtschaftlicher Internationalisierung – Wie reagieren Parteien?</w:t>
      </w:r>
    </w:p>
    <w:p w:rsidR="008B3DD9" w:rsidRPr="009F6C6A" w:rsidRDefault="008B3DD9" w:rsidP="008B3DD9">
      <w:pPr>
        <w:autoSpaceDE w:val="0"/>
        <w:autoSpaceDN w:val="0"/>
        <w:adjustRightInd w:val="0"/>
        <w:rPr>
          <w:rFonts w:ascii="Cambria" w:hAnsi="Cambria"/>
          <w:b/>
          <w:bCs/>
        </w:rPr>
      </w:pPr>
    </w:p>
    <w:p w:rsidR="008B3DD9" w:rsidRPr="009F6C6A" w:rsidRDefault="008B3DD9" w:rsidP="008B3DD9">
      <w:pPr>
        <w:autoSpaceDE w:val="0"/>
        <w:autoSpaceDN w:val="0"/>
        <w:adjustRightInd w:val="0"/>
        <w:rPr>
          <w:rFonts w:ascii="Cambria" w:hAnsi="Cambria"/>
          <w:lang w:val="en-US"/>
        </w:rPr>
      </w:pPr>
      <w:r w:rsidRPr="009F6C6A">
        <w:rPr>
          <w:rFonts w:ascii="Cambria" w:hAnsi="Cambria"/>
          <w:lang w:val="en-US"/>
        </w:rPr>
        <w:t>Iversen, Torben (2001): The Dynamics of Welfare State Expansion: Trade Openness, De-industrialization, and Partisan Politics, in: Pierson, Paul (ed.): The New Politics of the Welfare State. Oxford: Oxford University Press: 45-79.</w:t>
      </w:r>
    </w:p>
    <w:p w:rsidR="008B3DD9" w:rsidRPr="009F6C6A" w:rsidRDefault="008B3DD9" w:rsidP="008B3DD9">
      <w:pPr>
        <w:autoSpaceDE w:val="0"/>
        <w:autoSpaceDN w:val="0"/>
        <w:adjustRightInd w:val="0"/>
        <w:rPr>
          <w:rFonts w:ascii="Cambria" w:hAnsi="Cambria"/>
          <w:lang w:val="en-US"/>
        </w:rPr>
      </w:pPr>
    </w:p>
    <w:p w:rsidR="008B3DD9" w:rsidRPr="009F6C6A" w:rsidRDefault="008B3DD9" w:rsidP="008B3DD9">
      <w:pPr>
        <w:autoSpaceDE w:val="0"/>
        <w:autoSpaceDN w:val="0"/>
        <w:adjustRightInd w:val="0"/>
        <w:rPr>
          <w:rFonts w:ascii="Cambria" w:hAnsi="Cambria"/>
          <w:lang w:val="en-US"/>
        </w:rPr>
      </w:pPr>
      <w:r w:rsidRPr="009F6C6A">
        <w:rPr>
          <w:rFonts w:ascii="Cambria" w:hAnsi="Cambria"/>
          <w:lang w:val="en-US"/>
        </w:rPr>
        <w:t>Sitzung 13</w:t>
      </w:r>
    </w:p>
    <w:p w:rsidR="008B3DD9" w:rsidRPr="009F6C6A" w:rsidRDefault="008B3DD9" w:rsidP="008B3DD9">
      <w:pPr>
        <w:autoSpaceDE w:val="0"/>
        <w:autoSpaceDN w:val="0"/>
        <w:adjustRightInd w:val="0"/>
        <w:rPr>
          <w:rFonts w:ascii="Cambria" w:hAnsi="Cambria"/>
          <w:i/>
          <w:lang w:val="en-US"/>
        </w:rPr>
      </w:pPr>
      <w:r w:rsidRPr="009F6C6A">
        <w:rPr>
          <w:rFonts w:ascii="Cambria" w:hAnsi="Cambria"/>
          <w:i/>
          <w:lang w:val="en-US"/>
        </w:rPr>
        <w:t>Veränderungen der Vermögens- und Einkommensungleichheit</w:t>
      </w:r>
    </w:p>
    <w:p w:rsidR="008B3DD9" w:rsidRPr="009F6C6A" w:rsidRDefault="008B3DD9" w:rsidP="008B3DD9">
      <w:pPr>
        <w:autoSpaceDE w:val="0"/>
        <w:autoSpaceDN w:val="0"/>
        <w:adjustRightInd w:val="0"/>
        <w:rPr>
          <w:rFonts w:ascii="Cambria" w:hAnsi="Cambria"/>
          <w:lang w:val="en-US"/>
        </w:rPr>
      </w:pPr>
    </w:p>
    <w:p w:rsidR="008B3DD9" w:rsidRPr="009F6C6A" w:rsidRDefault="008B3DD9" w:rsidP="008B3DD9">
      <w:pPr>
        <w:autoSpaceDE w:val="0"/>
        <w:autoSpaceDN w:val="0"/>
        <w:adjustRightInd w:val="0"/>
        <w:rPr>
          <w:rFonts w:ascii="Cambria" w:hAnsi="Cambria"/>
          <w:lang w:val="en-US"/>
        </w:rPr>
      </w:pPr>
      <w:r w:rsidRPr="009F6C6A">
        <w:rPr>
          <w:rFonts w:ascii="Cambria" w:hAnsi="Cambria"/>
          <w:lang w:val="en-US"/>
        </w:rPr>
        <w:t>Sala-i-Martin, Xavier (2006): Global Inequality Fades as the Global Economy Grows, in: 2007 Index of Economic Freedom: Washington: Heritage Foundation/ The Wall Street Journal: 15-25.</w:t>
      </w:r>
    </w:p>
    <w:p w:rsidR="008B3DD9" w:rsidRPr="009F6C6A" w:rsidRDefault="008B3DD9" w:rsidP="008B3DD9">
      <w:pPr>
        <w:autoSpaceDE w:val="0"/>
        <w:autoSpaceDN w:val="0"/>
        <w:adjustRightInd w:val="0"/>
        <w:rPr>
          <w:rFonts w:ascii="Cambria" w:hAnsi="Cambria"/>
          <w:lang w:val="en-US"/>
        </w:rPr>
      </w:pPr>
    </w:p>
    <w:p w:rsidR="008B3DD9" w:rsidRPr="009F6C6A" w:rsidRDefault="008B3DD9" w:rsidP="008B3DD9">
      <w:pPr>
        <w:rPr>
          <w:rFonts w:ascii="Cambria" w:hAnsi="Cambria"/>
          <w:lang w:val="en-US"/>
        </w:rPr>
      </w:pPr>
      <w:r w:rsidRPr="009F6C6A">
        <w:rPr>
          <w:rFonts w:ascii="Cambria" w:hAnsi="Cambria"/>
          <w:lang w:val="en-US"/>
        </w:rPr>
        <w:t>Hacker, Jacob S.; Pierson, Paul (2010): Winner-Take-All Politics. How Washington Made the Rich Richer and Turned its Back on the Middle Class. New York u.a.: Simon &amp; Schuster Paperbacks: 1-40.</w:t>
      </w:r>
    </w:p>
    <w:p w:rsidR="008B3DD9" w:rsidRPr="009F6C6A" w:rsidRDefault="008B3DD9" w:rsidP="008B3DD9">
      <w:pPr>
        <w:autoSpaceDE w:val="0"/>
        <w:autoSpaceDN w:val="0"/>
        <w:adjustRightInd w:val="0"/>
        <w:rPr>
          <w:rFonts w:ascii="Cambria" w:hAnsi="Cambria"/>
          <w:lang w:val="en-US"/>
        </w:rPr>
      </w:pPr>
    </w:p>
    <w:p w:rsidR="00E52658" w:rsidRPr="009F6C6A" w:rsidRDefault="00E52658" w:rsidP="00E52658">
      <w:pPr>
        <w:pStyle w:val="Default"/>
        <w:rPr>
          <w:rFonts w:ascii="Cambria" w:hAnsi="Cambria"/>
        </w:rPr>
      </w:pPr>
      <w:r w:rsidRPr="009F6C6A">
        <w:rPr>
          <w:rFonts w:ascii="Cambria" w:hAnsi="Cambria"/>
        </w:rPr>
        <w:t xml:space="preserve">Sitzung  14 </w:t>
      </w:r>
    </w:p>
    <w:p w:rsidR="00E52658" w:rsidRPr="009F6C6A" w:rsidRDefault="00E52658" w:rsidP="00E52658">
      <w:pPr>
        <w:pStyle w:val="Default"/>
        <w:rPr>
          <w:rFonts w:ascii="Cambria" w:hAnsi="Cambria"/>
          <w:i/>
          <w:iCs/>
        </w:rPr>
      </w:pPr>
      <w:r w:rsidRPr="009F6C6A">
        <w:rPr>
          <w:rFonts w:ascii="Cambria" w:hAnsi="Cambria"/>
          <w:i/>
          <w:iCs/>
        </w:rPr>
        <w:t>Migration und der Wohlfahrtsstaat: das niederländische Beispiel</w:t>
      </w:r>
    </w:p>
    <w:p w:rsidR="00E52658" w:rsidRPr="009F6C6A" w:rsidRDefault="00E52658" w:rsidP="00E52658">
      <w:pPr>
        <w:pStyle w:val="Default"/>
        <w:rPr>
          <w:rFonts w:ascii="Cambria" w:hAnsi="Cambria"/>
        </w:rPr>
      </w:pPr>
    </w:p>
    <w:p w:rsidR="008B3DD9" w:rsidRPr="009F6C6A" w:rsidRDefault="00E52658" w:rsidP="00E52658">
      <w:pPr>
        <w:pStyle w:val="Default"/>
        <w:rPr>
          <w:rFonts w:ascii="Cambria" w:hAnsi="Cambria"/>
          <w:lang w:val="en-US"/>
        </w:rPr>
      </w:pPr>
      <w:r w:rsidRPr="009F6C6A">
        <w:rPr>
          <w:rFonts w:ascii="Cambria" w:hAnsi="Cambria"/>
          <w:lang w:val="en-US"/>
        </w:rPr>
        <w:t xml:space="preserve">Entzinger, Han (2006): The parallel decline of multiculturalism and the welfare state in the Netherlands, in: Banting, Keith/ Kymlicka, Will (eds.): </w:t>
      </w:r>
      <w:r w:rsidRPr="009F6C6A">
        <w:rPr>
          <w:rFonts w:ascii="Cambria" w:hAnsi="Cambria"/>
          <w:i/>
          <w:iCs/>
          <w:lang w:val="en-US"/>
        </w:rPr>
        <w:t xml:space="preserve">Multiculturalism and the Welfare State. </w:t>
      </w:r>
      <w:r w:rsidRPr="009F6C6A">
        <w:rPr>
          <w:rFonts w:ascii="Cambria" w:hAnsi="Cambria"/>
          <w:lang w:val="en-US"/>
        </w:rPr>
        <w:t>Recognition and Redistribution in Contemporary Democracies. Oxford: Oxford University Press, pp. 177-201.</w:t>
      </w:r>
    </w:p>
    <w:p w:rsidR="00762A47" w:rsidRPr="009F6C6A" w:rsidRDefault="00762A47" w:rsidP="00E52658">
      <w:pPr>
        <w:pStyle w:val="Default"/>
        <w:rPr>
          <w:rFonts w:ascii="Cambria" w:hAnsi="Cambria"/>
          <w:lang w:val="en-US"/>
        </w:rPr>
      </w:pPr>
    </w:p>
    <w:p w:rsidR="00762A47" w:rsidRPr="009F6C6A" w:rsidRDefault="00762A47" w:rsidP="00E52658">
      <w:pPr>
        <w:pStyle w:val="Default"/>
        <w:rPr>
          <w:rFonts w:ascii="Cambria" w:hAnsi="Cambria"/>
        </w:rPr>
      </w:pPr>
      <w:r w:rsidRPr="009F6C6A">
        <w:rPr>
          <w:rFonts w:ascii="Cambria" w:hAnsi="Cambria"/>
        </w:rPr>
        <w:t>Sitzung 15</w:t>
      </w:r>
    </w:p>
    <w:p w:rsidR="005052D9" w:rsidRPr="009F6C6A" w:rsidRDefault="005052D9" w:rsidP="005052D9">
      <w:pPr>
        <w:pStyle w:val="Default"/>
        <w:rPr>
          <w:rFonts w:ascii="Cambria" w:hAnsi="Cambria"/>
          <w:i/>
          <w:iCs/>
        </w:rPr>
      </w:pPr>
      <w:r w:rsidRPr="009F6C6A">
        <w:rPr>
          <w:rFonts w:ascii="Cambria" w:hAnsi="Cambria"/>
          <w:i/>
          <w:iCs/>
        </w:rPr>
        <w:t>Die Zukunft des Wohlfahrtsstaates</w:t>
      </w:r>
    </w:p>
    <w:p w:rsidR="005052D9" w:rsidRPr="009F6C6A" w:rsidRDefault="005052D9" w:rsidP="005052D9">
      <w:pPr>
        <w:pStyle w:val="Default"/>
        <w:rPr>
          <w:rFonts w:ascii="Cambria" w:hAnsi="Cambria"/>
          <w:lang w:val="en-US"/>
        </w:rPr>
      </w:pPr>
      <w:r w:rsidRPr="009F6C6A">
        <w:rPr>
          <w:rFonts w:ascii="Cambria" w:hAnsi="Cambria"/>
          <w:i/>
          <w:iCs/>
          <w:lang w:val="en-US"/>
        </w:rPr>
        <w:t xml:space="preserve"> </w:t>
      </w:r>
    </w:p>
    <w:p w:rsidR="005052D9" w:rsidRPr="009F6C6A" w:rsidRDefault="005052D9" w:rsidP="005052D9">
      <w:pPr>
        <w:pStyle w:val="Default"/>
        <w:rPr>
          <w:rFonts w:ascii="Cambria" w:hAnsi="Cambria"/>
          <w:b/>
          <w:bCs/>
          <w:lang w:val="en-US"/>
        </w:rPr>
      </w:pPr>
      <w:r w:rsidRPr="009F6C6A">
        <w:rPr>
          <w:rFonts w:ascii="Cambria" w:hAnsi="Cambria"/>
          <w:lang w:val="en-US"/>
        </w:rPr>
        <w:t xml:space="preserve">Esping-Andersen, Gøsta (2006): A Welfare State for the Twenty-First Century, in: Pierson, Christopher/ Castles, Francis G. (eds.): The Welfare State Reader. </w:t>
      </w:r>
      <w:r w:rsidRPr="009F6C6A">
        <w:rPr>
          <w:rFonts w:ascii="Cambria" w:hAnsi="Cambria"/>
        </w:rPr>
        <w:t>2nd edition. Cambridge/ Malden, Ma.: Polity Press:434-454.</w:t>
      </w:r>
    </w:p>
    <w:sectPr w:rsidR="005052D9" w:rsidRPr="009F6C6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4F1" w:rsidRDefault="008424F1" w:rsidP="005052D9">
      <w:r>
        <w:separator/>
      </w:r>
    </w:p>
  </w:endnote>
  <w:endnote w:type="continuationSeparator" w:id="0">
    <w:p w:rsidR="008424F1" w:rsidRDefault="008424F1" w:rsidP="0050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4F1" w:rsidRDefault="008424F1" w:rsidP="005052D9">
      <w:r>
        <w:separator/>
      </w:r>
    </w:p>
  </w:footnote>
  <w:footnote w:type="continuationSeparator" w:id="0">
    <w:p w:rsidR="008424F1" w:rsidRDefault="008424F1" w:rsidP="00505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294432"/>
      <w:docPartObj>
        <w:docPartGallery w:val="Page Numbers (Top of Page)"/>
        <w:docPartUnique/>
      </w:docPartObj>
    </w:sdtPr>
    <w:sdtEndPr/>
    <w:sdtContent>
      <w:p w:rsidR="005052D9" w:rsidRDefault="005052D9">
        <w:pPr>
          <w:pStyle w:val="Kopfzeile"/>
          <w:jc w:val="right"/>
        </w:pPr>
        <w:r>
          <w:fldChar w:fldCharType="begin"/>
        </w:r>
        <w:r>
          <w:instrText>PAGE   \* MERGEFORMAT</w:instrText>
        </w:r>
        <w:r>
          <w:fldChar w:fldCharType="separate"/>
        </w:r>
        <w:r w:rsidR="00091B95">
          <w:rPr>
            <w:noProof/>
          </w:rPr>
          <w:t>1</w:t>
        </w:r>
        <w:r>
          <w:fldChar w:fldCharType="end"/>
        </w:r>
      </w:p>
    </w:sdtContent>
  </w:sdt>
  <w:p w:rsidR="005052D9" w:rsidRDefault="005052D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44E"/>
    <w:rsid w:val="00091B95"/>
    <w:rsid w:val="002260F6"/>
    <w:rsid w:val="00235E37"/>
    <w:rsid w:val="005052D9"/>
    <w:rsid w:val="00525532"/>
    <w:rsid w:val="00762A47"/>
    <w:rsid w:val="0080112A"/>
    <w:rsid w:val="008424F1"/>
    <w:rsid w:val="00854A4F"/>
    <w:rsid w:val="008B3DD9"/>
    <w:rsid w:val="009F6C6A"/>
    <w:rsid w:val="00A2144E"/>
    <w:rsid w:val="00AD31EA"/>
    <w:rsid w:val="00AF7C8B"/>
    <w:rsid w:val="00C2587C"/>
    <w:rsid w:val="00D74BC0"/>
    <w:rsid w:val="00E526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587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2144E"/>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unhideWhenUsed/>
    <w:rsid w:val="005052D9"/>
    <w:pPr>
      <w:tabs>
        <w:tab w:val="center" w:pos="4536"/>
        <w:tab w:val="right" w:pos="9072"/>
      </w:tabs>
    </w:pPr>
  </w:style>
  <w:style w:type="character" w:customStyle="1" w:styleId="KopfzeileZchn">
    <w:name w:val="Kopfzeile Zchn"/>
    <w:basedOn w:val="Absatz-Standardschriftart"/>
    <w:link w:val="Kopfzeile"/>
    <w:uiPriority w:val="99"/>
    <w:rsid w:val="005052D9"/>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052D9"/>
    <w:pPr>
      <w:tabs>
        <w:tab w:val="center" w:pos="4536"/>
        <w:tab w:val="right" w:pos="9072"/>
      </w:tabs>
    </w:pPr>
  </w:style>
  <w:style w:type="character" w:customStyle="1" w:styleId="FuzeileZchn">
    <w:name w:val="Fußzeile Zchn"/>
    <w:basedOn w:val="Absatz-Standardschriftart"/>
    <w:link w:val="Fuzeile"/>
    <w:uiPriority w:val="99"/>
    <w:rsid w:val="005052D9"/>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5052D9"/>
    <w:rPr>
      <w:i/>
      <w:iCs/>
    </w:rPr>
  </w:style>
  <w:style w:type="paragraph" w:styleId="Sprechblasentext">
    <w:name w:val="Balloon Text"/>
    <w:basedOn w:val="Standard"/>
    <w:link w:val="SprechblasentextZchn"/>
    <w:uiPriority w:val="99"/>
    <w:semiHidden/>
    <w:unhideWhenUsed/>
    <w:rsid w:val="00854A4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4A4F"/>
    <w:rPr>
      <w:rFonts w:ascii="Segoe UI" w:eastAsia="Times New Roman" w:hAnsi="Segoe UI" w:cs="Segoe UI"/>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587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2144E"/>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unhideWhenUsed/>
    <w:rsid w:val="005052D9"/>
    <w:pPr>
      <w:tabs>
        <w:tab w:val="center" w:pos="4536"/>
        <w:tab w:val="right" w:pos="9072"/>
      </w:tabs>
    </w:pPr>
  </w:style>
  <w:style w:type="character" w:customStyle="1" w:styleId="KopfzeileZchn">
    <w:name w:val="Kopfzeile Zchn"/>
    <w:basedOn w:val="Absatz-Standardschriftart"/>
    <w:link w:val="Kopfzeile"/>
    <w:uiPriority w:val="99"/>
    <w:rsid w:val="005052D9"/>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052D9"/>
    <w:pPr>
      <w:tabs>
        <w:tab w:val="center" w:pos="4536"/>
        <w:tab w:val="right" w:pos="9072"/>
      </w:tabs>
    </w:pPr>
  </w:style>
  <w:style w:type="character" w:customStyle="1" w:styleId="FuzeileZchn">
    <w:name w:val="Fußzeile Zchn"/>
    <w:basedOn w:val="Absatz-Standardschriftart"/>
    <w:link w:val="Fuzeile"/>
    <w:uiPriority w:val="99"/>
    <w:rsid w:val="005052D9"/>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5052D9"/>
    <w:rPr>
      <w:i/>
      <w:iCs/>
    </w:rPr>
  </w:style>
  <w:style w:type="paragraph" w:styleId="Sprechblasentext">
    <w:name w:val="Balloon Text"/>
    <w:basedOn w:val="Standard"/>
    <w:link w:val="SprechblasentextZchn"/>
    <w:uiPriority w:val="99"/>
    <w:semiHidden/>
    <w:unhideWhenUsed/>
    <w:rsid w:val="00854A4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4A4F"/>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5261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Glassmann</dc:creator>
  <cp:lastModifiedBy>Ulrich</cp:lastModifiedBy>
  <cp:revision>2</cp:revision>
  <cp:lastPrinted>2014-09-17T14:27:00Z</cp:lastPrinted>
  <dcterms:created xsi:type="dcterms:W3CDTF">2014-09-17T21:25:00Z</dcterms:created>
  <dcterms:modified xsi:type="dcterms:W3CDTF">2014-09-17T21:25:00Z</dcterms:modified>
</cp:coreProperties>
</file>